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病种：重症银屑病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初审医生：皮肤科：史小俊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复审医生：皮肤科：李森</w:t>
      </w:r>
    </w:p>
    <w:p>
      <w:r>
        <w:rPr>
          <w:rFonts w:hint="eastAsia"/>
          <w:b/>
          <w:bCs/>
        </w:rPr>
        <w:t>准入标准：</w:t>
      </w:r>
      <w:r>
        <w:rPr>
          <w:rFonts w:hint="eastAsia"/>
        </w:rPr>
        <w:t>1、重度寻常型银屑病：皮损面积&gt;10%BSA（体表面积），极大地影响患者生活质量，皮肤病生活质量指数（DLQI）&gt;10分。</w:t>
      </w:r>
    </w:p>
    <w:p>
      <w:r>
        <w:rPr>
          <w:rFonts w:hint="eastAsia"/>
        </w:rPr>
        <w:t>2、泛发性脓疱型银屑病：（1）迅速出现的针尖至粟米大小淡黄色或黄白色潜在性无菌性小脓疱，密集分布；（2）片状脓湖，全身分布，肿胀疼痛；（3）红皮病样改变、关节和指（趾）甲损害（4）寒战和高热（呈弛张热型）。</w:t>
      </w:r>
    </w:p>
    <w:p>
      <w:r>
        <w:rPr>
          <w:rFonts w:hint="eastAsia"/>
        </w:rPr>
        <w:t>3、红皮病型银屑病：（1）有其他类型银屑病病史；（2）发生弥漫性红斑、脱屑，皮损面积&gt;90%BSA；（3）有时仍可见寻常型银屑病皮损；（4）可伴有发热等系统症状和低蛋白血症。</w:t>
      </w:r>
    </w:p>
    <w:p>
      <w:r>
        <w:rPr>
          <w:rFonts w:hint="eastAsia"/>
        </w:rPr>
        <w:t>4、关节病型银屑病：（1）一般有其他类型银屑病病史；（2）指（趾）关节、四肢大关节或脊柱及骶髂关节肿痛，可有明显晨僵现象；（3）X 线、MRI 和 B 超等影像学检查示附着点炎，受累关节积液、滑膜增厚，严重者出现关节变形、关节腔狭窄或骨质破坏；（4）C 反应蛋白升高、血沉加快，类风湿因子常阴性，脊柱或骶髂关节受累者 HLA-B27 常阳性。</w:t>
      </w:r>
    </w:p>
    <w:p>
      <w:r>
        <w:rPr>
          <w:rFonts w:hint="eastAsia"/>
        </w:rPr>
        <w:t>准入标准：具备上述 4 种条件之一者。</w:t>
      </w:r>
    </w:p>
    <w:p>
      <w:bookmarkStart w:id="0" w:name="_GoBack"/>
      <w:r>
        <w:rPr>
          <w:rFonts w:hint="eastAsia"/>
          <w:b/>
          <w:bCs/>
        </w:rPr>
        <w:t>需准备材料：</w:t>
      </w:r>
      <w:bookmarkEnd w:id="0"/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2、组织病理学检查报告单。</w:t>
      </w:r>
    </w:p>
    <w:p>
      <w:r>
        <w:rPr>
          <w:rFonts w:hint="eastAsia"/>
        </w:rPr>
        <w:t>3、影像学 X 线、CT 或 MRI 摄影、类风湿因子测定、红细胞沉降率测定、血常规、电解质、肝肾功能等检查报告单。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56" o:spid="_x0000_s1056" o:spt="1" style="position:absolute;left:0pt;margin-left:30.65pt;margin-top:9pt;height:37.05pt;width:123.75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57" o:spid="_x0000_s1057" o:spt="32" type="#_x0000_t32" style="position:absolute;left:0pt;margin-left:154.4pt;margin-top:10.55pt;height:0.1pt;width:104.4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58" o:spid="_x0000_s1058" o:spt="32" type="#_x0000_t32" style="position:absolute;left:0pt;margin-left:88.5pt;margin-top:14.85pt;height:23.7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29.25pt;margin-top:14.85pt;height:23.7pt;width:0.0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60" o:spid="_x0000_s1060" o:spt="32" type="#_x0000_t32" style="position:absolute;left:0pt;flip:x;margin-left:208.3pt;margin-top:7.35pt;height:25.5pt;width:0.2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flip:x;margin-left:88.5pt;margin-top:7.35pt;height:0pt;width:240.7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62" o:spid="_x0000_s1062" o:spt="1" style="position:absolute;left:0pt;margin-left:141.1pt;margin-top:1.65pt;height:20.25pt;width:13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207.7pt;margin-top:6.3pt;height:27pt;width:0pt;z-index:2516695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4" o:spid="_x0000_s1064" o:spt="1" style="position:absolute;left:0pt;margin-left:141.1pt;margin-top:2.1pt;height:21.75pt;width:131.2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5" o:spid="_x0000_s1065" o:spt="32" type="#_x0000_t32" style="position:absolute;left:0pt;margin-left:207.65pt;margin-top:8.25pt;height:27.75pt;width:0pt;z-index:2516715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6" o:spid="_x0000_s1066" o:spt="1" style="position:absolute;left:0pt;margin-left:141.1pt;margin-top:4.8pt;height:21.75pt;width:131.2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0948EB"/>
    <w:rsid w:val="00140C58"/>
    <w:rsid w:val="00145AE6"/>
    <w:rsid w:val="001F654D"/>
    <w:rsid w:val="00256D99"/>
    <w:rsid w:val="00373A9A"/>
    <w:rsid w:val="004A1787"/>
    <w:rsid w:val="004C19D9"/>
    <w:rsid w:val="00502345"/>
    <w:rsid w:val="00571E67"/>
    <w:rsid w:val="005E706F"/>
    <w:rsid w:val="00615E37"/>
    <w:rsid w:val="006A486E"/>
    <w:rsid w:val="00717B3F"/>
    <w:rsid w:val="007B1EF8"/>
    <w:rsid w:val="007D6C1F"/>
    <w:rsid w:val="00822EA9"/>
    <w:rsid w:val="008C55E1"/>
    <w:rsid w:val="00A97C2C"/>
    <w:rsid w:val="00C44FF7"/>
    <w:rsid w:val="00D37399"/>
    <w:rsid w:val="00DD2114"/>
    <w:rsid w:val="00DE5A85"/>
    <w:rsid w:val="00E923EB"/>
    <w:rsid w:val="00EF606F"/>
    <w:rsid w:val="00F2002E"/>
    <w:rsid w:val="080575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3"/>
        <o:r id="V:Rule8" type="connector" idref="#_x0000_s106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112</Words>
  <Characters>642</Characters>
  <Lines>5</Lines>
  <Paragraphs>1</Paragraphs>
  <TotalTime>27</TotalTime>
  <ScaleCrop>false</ScaleCrop>
  <LinksUpToDate>false</LinksUpToDate>
  <CharactersWithSpaces>753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2021-04-08T00:34:22Z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1BE2103ECB304E69A38F2ED121CB1F51</vt:lpwstr>
  </property>
</Properties>
</file>